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-609599</wp:posOffset>
                </wp:positionV>
                <wp:extent cx="9734550" cy="6267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3488" y="651038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-609599</wp:posOffset>
                </wp:positionV>
                <wp:extent cx="9734550" cy="62674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550" cy="6267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-520699</wp:posOffset>
                </wp:positionV>
                <wp:extent cx="9620250" cy="67246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40638" y="422438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-520699</wp:posOffset>
                </wp:positionV>
                <wp:extent cx="9620250" cy="67246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0" cy="672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112916</wp:posOffset>
            </wp:positionH>
            <wp:positionV relativeFrom="paragraph">
              <wp:posOffset>-574501</wp:posOffset>
            </wp:positionV>
            <wp:extent cx="8907780" cy="6416040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07780" cy="6416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92.0" w:type="dxa"/>
        <w:jc w:val="left"/>
        <w:tblInd w:w="0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top w:color="fea300" w:space="0" w:sz="4" w:val="dashed"/>
              <w:bottom w:color="fea300" w:space="0" w:sz="4" w:val="single"/>
              <w:right w:color="fea300" w:space="0" w:sz="4" w:val="dashed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color w:val="7030a0"/>
              </w:rPr>
            </w:pPr>
            <w:r w:rsidDel="00000000" w:rsidR="00000000" w:rsidRPr="00000000">
              <w:rPr>
                <w:color w:val="fea300"/>
                <w:rtl w:val="0"/>
              </w:rPr>
              <w:t xml:space="preserve">6. TEMA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ea300" w:space="0" w:sz="4" w:val="dashed"/>
              <w:left w:color="fea300" w:space="0" w:sz="4" w:val="dashed"/>
              <w:bottom w:color="fea3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113" w:firstLine="0"/>
              <w:rPr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color w:val="fea300"/>
                <w:sz w:val="28"/>
                <w:szCs w:val="28"/>
                <w:rtl w:val="0"/>
              </w:rPr>
              <w:t xml:space="preserve">Antologijska šetnja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2" w:hRule="atLeast"/>
        </w:trPr>
        <w:tc>
          <w:tcPr>
            <w:tcBorders>
              <w:top w:color="fea300" w:space="0" w:sz="4" w:val="single"/>
              <w:bottom w:color="fea300" w:space="0" w:sz="4" w:val="single"/>
              <w:right w:color="fea300" w:space="0" w:sz="4" w:val="dashed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TEKSTOVI</w:t>
            </w:r>
          </w:p>
          <w:p w:rsidR="00000000" w:rsidDel="00000000" w:rsidP="00000000" w:rsidRDefault="00000000" w:rsidRPr="00000000" w14:paraId="00000018">
            <w:pPr>
              <w:rPr>
                <w:b w:val="0"/>
                <w:color w:val="9872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ea300" w:space="0" w:sz="4" w:val="single"/>
              <w:left w:color="fea300" w:space="0" w:sz="4" w:val="dashed"/>
              <w:bottom w:color="fea300" w:space="0" w:sz="4" w:val="single"/>
            </w:tcBorders>
            <w:shd w:fill="fff4e1" w:val="clear"/>
            <w:vAlign w:val="center"/>
          </w:tcPr>
          <w:p w:rsidR="00000000" w:rsidDel="00000000" w:rsidP="00000000" w:rsidRDefault="00000000" w:rsidRPr="00000000" w14:paraId="00000019">
            <w:pPr>
              <w:spacing w:after="6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August Šenoa, </w:t>
            </w:r>
            <w:r w:rsidDel="00000000" w:rsidR="00000000" w:rsidRPr="00000000">
              <w:rPr>
                <w:i w:val="1"/>
                <w:rtl w:val="0"/>
              </w:rPr>
              <w:t xml:space="preserve">Prosjak Luka</w:t>
            </w:r>
            <w:r w:rsidDel="00000000" w:rsidR="00000000" w:rsidRPr="00000000">
              <w:rPr>
                <w:rtl w:val="0"/>
              </w:rPr>
              <w:t xml:space="preserve">, Vjekoslav Kaleb, </w:t>
            </w:r>
            <w:r w:rsidDel="00000000" w:rsidR="00000000" w:rsidRPr="00000000">
              <w:rPr>
                <w:i w:val="1"/>
                <w:rtl w:val="0"/>
              </w:rPr>
              <w:t xml:space="preserve">Prosjak</w:t>
            </w:r>
            <w:r w:rsidDel="00000000" w:rsidR="00000000" w:rsidRPr="00000000">
              <w:rPr>
                <w:rtl w:val="0"/>
              </w:rPr>
              <w:t xml:space="preserve">, August Šenoa, </w:t>
            </w:r>
            <w:r w:rsidDel="00000000" w:rsidR="00000000" w:rsidRPr="00000000">
              <w:rPr>
                <w:i w:val="1"/>
                <w:rtl w:val="0"/>
              </w:rPr>
              <w:t xml:space="preserve">Seljačka buna</w:t>
            </w:r>
            <w:r w:rsidDel="00000000" w:rsidR="00000000" w:rsidRPr="00000000">
              <w:rPr>
                <w:rtl w:val="0"/>
              </w:rPr>
              <w:t xml:space="preserve">, Dinko Šimunović, </w:t>
            </w:r>
            <w:r w:rsidDel="00000000" w:rsidR="00000000" w:rsidRPr="00000000">
              <w:rPr>
                <w:i w:val="1"/>
                <w:rtl w:val="0"/>
              </w:rPr>
              <w:t xml:space="preserve">Alkar</w:t>
            </w:r>
            <w:r w:rsidDel="00000000" w:rsidR="00000000" w:rsidRPr="00000000">
              <w:rPr>
                <w:rtl w:val="0"/>
              </w:rPr>
              <w:t xml:space="preserve">, Mate Balota, </w:t>
            </w:r>
            <w:r w:rsidDel="00000000" w:rsidR="00000000" w:rsidRPr="00000000">
              <w:rPr>
                <w:i w:val="1"/>
                <w:rtl w:val="0"/>
              </w:rPr>
              <w:t xml:space="preserve">Koza, </w:t>
            </w:r>
            <w:r w:rsidDel="00000000" w:rsidR="00000000" w:rsidRPr="00000000">
              <w:rPr>
                <w:rtl w:val="0"/>
              </w:rPr>
              <w:t xml:space="preserve"> Miro Gavran,</w:t>
            </w:r>
            <w:r w:rsidDel="00000000" w:rsidR="00000000" w:rsidRPr="00000000">
              <w:rPr>
                <w:i w:val="1"/>
                <w:rtl w:val="0"/>
              </w:rPr>
              <w:t xml:space="preserve"> Judita</w:t>
            </w:r>
            <w:r w:rsidDel="00000000" w:rsidR="00000000" w:rsidRPr="00000000">
              <w:rPr>
                <w:rtl w:val="0"/>
              </w:rPr>
              <w:t xml:space="preserve">; Biblija, </w:t>
            </w:r>
            <w:r w:rsidDel="00000000" w:rsidR="00000000" w:rsidRPr="00000000">
              <w:rPr>
                <w:i w:val="1"/>
                <w:rtl w:val="0"/>
              </w:rPr>
              <w:t xml:space="preserve">Judita u neprijateljskom taboru, </w:t>
            </w:r>
            <w:r w:rsidDel="00000000" w:rsidR="00000000" w:rsidRPr="00000000">
              <w:rPr>
                <w:rtl w:val="0"/>
              </w:rPr>
              <w:t xml:space="preserve"> Influenceri, gejmeri, jutjuberi, blogeri, vlogei – nove supkulture na prvom mjestu društvene ljestvice</w:t>
            </w:r>
          </w:p>
        </w:tc>
      </w:tr>
    </w:tbl>
    <w:p w:rsidR="00000000" w:rsidDel="00000000" w:rsidP="00000000" w:rsidRDefault="00000000" w:rsidRPr="00000000" w14:paraId="0000001A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79.0" w:type="dxa"/>
        <w:jc w:val="left"/>
        <w:tblInd w:w="0.0" w:type="dxa"/>
        <w:tblBorders>
          <w:top w:color="000000" w:space="0" w:sz="0" w:val="nil"/>
          <w:left w:color="ffffff" w:space="0" w:sz="4" w:val="single"/>
          <w:bottom w:color="000000" w:space="0" w:sz="0" w:val="nil"/>
          <w:right w:color="ffffff" w:space="0" w:sz="4" w:val="single"/>
          <w:insideH w:color="ffd147" w:space="0" w:sz="4" w:val="single"/>
          <w:insideV w:color="987200" w:space="0" w:sz="4" w:val="dashed"/>
        </w:tblBorders>
        <w:tblLayout w:type="fixed"/>
        <w:tblLook w:val="04A0"/>
      </w:tblPr>
      <w:tblGrid>
        <w:gridCol w:w="5023"/>
        <w:gridCol w:w="5078"/>
        <w:gridCol w:w="5078"/>
        <w:tblGridChange w:id="0">
          <w:tblGrid>
            <w:gridCol w:w="5023"/>
            <w:gridCol w:w="5078"/>
            <w:gridCol w:w="5078"/>
          </w:tblGrid>
        </w:tblGridChange>
      </w:tblGrid>
      <w:tr>
        <w:trPr>
          <w:trHeight w:val="393" w:hRule="atLeast"/>
        </w:trPr>
        <w:tc>
          <w:tcPr>
            <w:tcBorders>
              <w:bottom w:color="fea300" w:space="0" w:sz="4" w:val="dashed"/>
              <w:right w:color="fea300" w:space="0" w:sz="4" w:val="dashed"/>
            </w:tcBorders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113" w:firstLine="0"/>
              <w:rPr>
                <w:color w:val="fea300"/>
              </w:rPr>
            </w:pPr>
            <w:r w:rsidDel="00000000" w:rsidR="00000000" w:rsidRPr="00000000">
              <w:rPr>
                <w:color w:val="fea300"/>
                <w:rtl w:val="0"/>
              </w:rPr>
              <w:t xml:space="preserve">broj sati</w:t>
            </w:r>
          </w:p>
        </w:tc>
        <w:tc>
          <w:tcPr>
            <w:tcBorders>
              <w:left w:color="fea300" w:space="0" w:sz="4" w:val="dashed"/>
              <w:bottom w:color="fea300" w:space="0" w:sz="4" w:val="dashed"/>
              <w:right w:color="fea300" w:space="0" w:sz="4" w:val="dashed"/>
            </w:tcBorders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113" w:firstLine="0"/>
              <w:rPr>
                <w:color w:val="fea300"/>
              </w:rPr>
            </w:pPr>
            <w:r w:rsidDel="00000000" w:rsidR="00000000" w:rsidRPr="00000000">
              <w:rPr>
                <w:color w:val="fea300"/>
                <w:rtl w:val="0"/>
              </w:rPr>
              <w:t xml:space="preserve">vrijeme ostvarivanja</w:t>
            </w:r>
          </w:p>
        </w:tc>
        <w:tc>
          <w:tcPr>
            <w:tcBorders>
              <w:left w:color="fea300" w:space="0" w:sz="4" w:val="dashed"/>
              <w:bottom w:color="fea300" w:space="0" w:sz="4" w:val="dashed"/>
            </w:tcBorders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left="113" w:firstLine="0"/>
              <w:rPr>
                <w:color w:val="fea300"/>
              </w:rPr>
            </w:pPr>
            <w:r w:rsidDel="00000000" w:rsidR="00000000" w:rsidRPr="00000000">
              <w:rPr>
                <w:color w:val="fea300"/>
                <w:rtl w:val="0"/>
              </w:rPr>
              <w:t xml:space="preserve">postotna zastupljenost predmetnih područja</w:t>
            </w:r>
          </w:p>
        </w:tc>
      </w:tr>
      <w:tr>
        <w:trPr>
          <w:trHeight w:val="393" w:hRule="atLeast"/>
        </w:trPr>
        <w:tc>
          <w:tcPr>
            <w:tcBorders>
              <w:top w:color="fea300" w:space="0" w:sz="4" w:val="dashed"/>
              <w:bottom w:color="fea300" w:space="0" w:sz="4" w:val="dashed"/>
              <w:right w:color="fea300" w:space="0" w:sz="4" w:val="dashed"/>
            </w:tcBorders>
            <w:shd w:fill="fff4e1" w:val="clear"/>
          </w:tcPr>
          <w:p w:rsidR="00000000" w:rsidDel="00000000" w:rsidP="00000000" w:rsidRDefault="00000000" w:rsidRPr="00000000" w14:paraId="0000001E">
            <w:pPr>
              <w:spacing w:before="6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fea300" w:space="0" w:sz="4" w:val="dashed"/>
              <w:left w:color="fea300" w:space="0" w:sz="4" w:val="dashed"/>
              <w:bottom w:color="fea300" w:space="0" w:sz="4" w:val="dashed"/>
              <w:right w:color="fea300" w:space="0" w:sz="4" w:val="dashed"/>
            </w:tcBorders>
            <w:shd w:fill="fff4e1" w:val="clear"/>
          </w:tcPr>
          <w:p w:rsidR="00000000" w:rsidDel="00000000" w:rsidP="00000000" w:rsidRDefault="00000000" w:rsidRPr="00000000" w14:paraId="0000001F">
            <w:pPr>
              <w:spacing w:before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ea300" w:space="0" w:sz="4" w:val="dashed"/>
              <w:left w:color="fea300" w:space="0" w:sz="4" w:val="dashed"/>
              <w:bottom w:color="fea300" w:space="0" w:sz="4" w:val="dashed"/>
            </w:tcBorders>
            <w:shd w:fill="fff4e1" w:val="clear"/>
          </w:tcPr>
          <w:p w:rsidR="00000000" w:rsidDel="00000000" w:rsidP="00000000" w:rsidRDefault="00000000" w:rsidRPr="00000000" w14:paraId="00000020">
            <w:pPr>
              <w:spacing w:before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Hrvatski jezik i komunikacija  – 60%</w:t>
            </w:r>
          </w:p>
          <w:p w:rsidR="00000000" w:rsidDel="00000000" w:rsidP="00000000" w:rsidRDefault="00000000" w:rsidRPr="00000000" w14:paraId="00000021">
            <w:pPr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Književnost i stvaralaštvo  – 40%</w:t>
            </w:r>
          </w:p>
          <w:p w:rsidR="00000000" w:rsidDel="00000000" w:rsidP="00000000" w:rsidRDefault="00000000" w:rsidRPr="00000000" w14:paraId="00000022">
            <w:pPr>
              <w:spacing w:after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Kultura i mediji – 0%</w:t>
            </w:r>
          </w:p>
        </w:tc>
      </w:tr>
      <w:tr>
        <w:trPr>
          <w:trHeight w:val="123" w:hRule="atLeast"/>
        </w:trPr>
        <w:tc>
          <w:tcPr>
            <w:tcBorders>
              <w:top w:color="fea300" w:space="0" w:sz="4" w:val="dashed"/>
              <w:right w:color="fea300" w:space="0" w:sz="4" w:val="dashed"/>
            </w:tcBorders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ea300" w:space="0" w:sz="4" w:val="dashed"/>
              <w:left w:color="fea300" w:space="0" w:sz="4" w:val="dashed"/>
              <w:right w:color="fea300" w:space="0" w:sz="4" w:val="dashed"/>
            </w:tcBorders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ea300" w:space="0" w:sz="4" w:val="dashed"/>
              <w:left w:color="fea300" w:space="0" w:sz="4" w:val="dashed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11.0" w:type="dxa"/>
        <w:jc w:val="left"/>
        <w:tblInd w:w="-618.0" w:type="dxa"/>
        <w:tblBorders>
          <w:top w:color="fea300" w:space="0" w:sz="6" w:val="dashed"/>
          <w:left w:color="fea300" w:space="0" w:sz="6" w:val="dashed"/>
          <w:bottom w:color="fea300" w:space="0" w:sz="6" w:val="dashed"/>
          <w:right w:color="fea300" w:space="0" w:sz="6" w:val="dashed"/>
          <w:insideH w:color="fea300" w:space="0" w:sz="6" w:val="dashed"/>
          <w:insideV w:color="fea300" w:space="0" w:sz="6" w:val="dashed"/>
        </w:tblBorders>
        <w:tblLayout w:type="fixed"/>
        <w:tblLook w:val="04A0"/>
      </w:tblPr>
      <w:tblGrid>
        <w:gridCol w:w="2328"/>
        <w:gridCol w:w="813"/>
        <w:gridCol w:w="2005"/>
        <w:gridCol w:w="7909"/>
        <w:gridCol w:w="2156"/>
        <w:tblGridChange w:id="0">
          <w:tblGrid>
            <w:gridCol w:w="2328"/>
            <w:gridCol w:w="813"/>
            <w:gridCol w:w="2005"/>
            <w:gridCol w:w="7909"/>
            <w:gridCol w:w="2156"/>
          </w:tblGrid>
        </w:tblGridChange>
      </w:tblGrid>
      <w:tr>
        <w:trPr>
          <w:trHeight w:val="479" w:hRule="atLeast"/>
        </w:trPr>
        <w:tc>
          <w:tcPr>
            <w:tcBorders>
              <w:right w:color="ffffff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left="17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AKTIVNOSTI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ind w:left="113" w:firstLine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BROJ SATI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ODGOJNO-OBRAZOVNI ISHOD/I NA RAZINI PREDMETNOG KURIKULUMA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ffc000" w:val="clea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before="12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ODGOJNO-OBRAZOVNI ISHODI NA RAZINI TEME I AKTIVNOSTI</w:t>
            </w:r>
          </w:p>
        </w:tc>
        <w:tc>
          <w:tcPr>
            <w:tcBorders>
              <w:left w:color="ffffff" w:space="0" w:sz="8" w:val="single"/>
            </w:tcBorders>
            <w:shd w:fill="ffc000" w:val="clea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ODGOJNO-OBRAZOVNA OČEKIVANJA MEĐUPREDMETNIH TEMA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ind w:left="113" w:right="113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Odnosi među riječima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Sinonimi i antonimi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spacing w:before="240" w:lineRule="auto"/>
              <w:ind w:lef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2</w:t>
            </w:r>
          </w:p>
        </w:tc>
        <w:tc>
          <w:tcPr>
            <w:vMerge w:val="restart"/>
            <w:shd w:fill="fff4e1" w:val="clea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ind w:left="113" w:right="57" w:firstLine="0"/>
              <w:rPr>
                <w:b w:val="1"/>
                <w:color w:val="e2b700"/>
              </w:rPr>
            </w:pPr>
            <w:r w:rsidDel="00000000" w:rsidR="00000000" w:rsidRPr="00000000">
              <w:rPr>
                <w:b w:val="1"/>
                <w:color w:val="e2b700"/>
                <w:rtl w:val="0"/>
              </w:rPr>
              <w:t xml:space="preserve">OŠ HJ A.8.6.</w:t>
            </w:r>
          </w:p>
          <w:p w:rsidR="00000000" w:rsidDel="00000000" w:rsidP="00000000" w:rsidRDefault="00000000" w:rsidRPr="00000000" w14:paraId="00000031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Kritički se odnositi prema sadržaju tekstu o sinonimima i antonimima.                            .                                                                                                                                                                  Razvrstavati podatke u tablicu (KWL-tablica) Razmijeniti spoznaje suradničkim radom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Izraditi digitalnu igru u Wordwallu – Čudnovati kotač. Zaključivati o antonimskim parovima bacanjem kocke. Kategorizirati riječi prema njihovu značenju.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tekst trodijelne strukture hrvatskim književnim jezikom primjenjujući znanja o sinonimima.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spacing w:after="120" w:before="120" w:lineRule="auto"/>
              <w:ind w:left="113" w:right="113" w:firstLine="0"/>
              <w:rPr>
                <w:i w:val="0"/>
                <w:color w:val="e84c22"/>
              </w:rPr>
            </w:pPr>
            <w:r w:rsidDel="00000000" w:rsidR="00000000" w:rsidRPr="00000000">
              <w:rPr>
                <w:color w:val="231f20"/>
                <w:sz w:val="18"/>
                <w:szCs w:val="18"/>
                <w:highlight w:val="white"/>
                <w:rtl w:val="0"/>
              </w:rPr>
              <w:t xml:space="preserve">uku A.3.1., uku B.3.4.,                  ikt D.3.1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fff4e1" w:val="clear"/>
          </w:tcPr>
          <w:p w:rsidR="00000000" w:rsidDel="00000000" w:rsidP="00000000" w:rsidRDefault="00000000" w:rsidRPr="00000000" w14:paraId="00000036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Posuđenice</w:t>
            </w:r>
          </w:p>
        </w:tc>
        <w:tc>
          <w:tcPr>
            <w:shd w:fill="fff4e1" w:val="clear"/>
          </w:tcPr>
          <w:p w:rsidR="00000000" w:rsidDel="00000000" w:rsidP="00000000" w:rsidRDefault="00000000" w:rsidRPr="00000000" w14:paraId="00000037">
            <w:pPr>
              <w:spacing w:before="240" w:lineRule="auto"/>
              <w:ind w:lef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1</w:t>
            </w:r>
          </w:p>
        </w:tc>
        <w:tc>
          <w:tcPr>
            <w:vMerge w:val="continue"/>
            <w:shd w:fill="fff4e1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4e1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Logički i kritički promišljati o pročitanim sadržajima. Izdvajati nove podatke. Objasniti pojam posuđenice . Razlikovati usvojenice, prilagođenice i tuđice. Istraživati i prikupljati anglizme. Izraditi PowerPoint prezentaciju.</w:t>
            </w:r>
          </w:p>
        </w:tc>
        <w:tc>
          <w:tcPr>
            <w:shd w:fill="fff4e1" w:val="clea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ind w:left="113" w:right="113" w:firstLine="0"/>
              <w:rPr>
                <w:i w:val="0"/>
                <w:color w:val="404040"/>
              </w:rPr>
            </w:pPr>
            <w:r w:rsidDel="00000000" w:rsidR="00000000" w:rsidRPr="00000000">
              <w:rPr>
                <w:i w:val="0"/>
                <w:color w:val="404040"/>
                <w:sz w:val="18"/>
                <w:szCs w:val="18"/>
                <w:rtl w:val="0"/>
              </w:rPr>
              <w:t xml:space="preserve">uku A.3.1., uku B.3.4.,                  ikt D.3.1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Frazemi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before="240" w:lineRule="auto"/>
              <w:ind w:lef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2</w:t>
            </w:r>
          </w:p>
        </w:tc>
        <w:tc>
          <w:tcPr>
            <w:vMerge w:val="continue"/>
            <w:shd w:fill="fff4e1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Objasniti preneseno značenje frazema. Objasniti osnovno obilježje frazema. Prepoznati frazeme u rečenici. Razlikovati frazeme prema podrijetlu. Povezivati frazemske sinonime i frazemske antonime. Prikladno rabiti frazeme u rečenici. Uvrstiti frazeme u rečenicu objašnjavati značenje frazema. Pantomimom prikazati frazeme. Napisati tekst primjenjujući znanje o frazemima.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uku B.3.4.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fff4e1" w:val="clear"/>
          </w:tcPr>
          <w:p w:rsidR="00000000" w:rsidDel="00000000" w:rsidP="00000000" w:rsidRDefault="00000000" w:rsidRPr="00000000" w14:paraId="00000040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Pleonazmi i neologizmi</w:t>
            </w:r>
          </w:p>
        </w:tc>
        <w:tc>
          <w:tcPr>
            <w:shd w:fill="fff4e1" w:val="clear"/>
          </w:tcPr>
          <w:p w:rsidR="00000000" w:rsidDel="00000000" w:rsidP="00000000" w:rsidRDefault="00000000" w:rsidRPr="00000000" w14:paraId="00000041">
            <w:pPr>
              <w:spacing w:before="240" w:lineRule="auto"/>
              <w:ind w:lef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1</w:t>
            </w:r>
          </w:p>
        </w:tc>
        <w:tc>
          <w:tcPr>
            <w:vMerge w:val="continue"/>
            <w:shd w:fill="fff4e1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4e1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Tumačiti zadane nove riječi. Raspravljati o potrebi stvaranja novih riječi.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bilješke u dva stupca o sadržajima učenja. Istraživati i pronalaziti zamjene za strane riječi i tuđice. Pisati tekst na zadane riječi. Prikupljati pleonazme i objasniti ih.</w:t>
            </w:r>
          </w:p>
        </w:tc>
        <w:tc>
          <w:tcPr>
            <w:shd w:fill="fff4e1" w:val="clear"/>
          </w:tcPr>
          <w:p w:rsidR="00000000" w:rsidDel="00000000" w:rsidP="00000000" w:rsidRDefault="00000000" w:rsidRPr="00000000" w14:paraId="00000045">
            <w:pPr>
              <w:spacing w:before="240" w:lineRule="auto"/>
              <w:ind w:left="113" w:firstLine="0"/>
              <w:rPr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0"/>
                <w:color w:val="000000"/>
                <w:sz w:val="18"/>
                <w:szCs w:val="18"/>
                <w:rtl w:val="0"/>
              </w:rPr>
              <w:t xml:space="preserve">uku B.3.4., ikt D.3.2.</w:t>
            </w:r>
          </w:p>
          <w:p w:rsidR="00000000" w:rsidDel="00000000" w:rsidP="00000000" w:rsidRDefault="00000000" w:rsidRPr="00000000" w14:paraId="00000046">
            <w:pPr>
              <w:spacing w:before="240" w:lineRule="auto"/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Odnosi među riječima – ponavljanje i vrednovanje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before="240" w:lineRule="auto"/>
              <w:ind w:lef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2</w:t>
            </w:r>
          </w:p>
        </w:tc>
        <w:tc>
          <w:tcPr>
            <w:vMerge w:val="continue"/>
            <w:shd w:fill="fff4e1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Rješavati u timu zadatke različitih tipova. Ponoviti sadržaje učenja kroz igru i različite digitalne zadatke na e-sferi. Usustaviti znanja u obliku digitalne umne mape. Predstaviti drugim učenicima rezultate rada. Osmisliti pitanja i odgovore o sadržajima učenja na karticama.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Vrednovanje naučenoga: rješavati različite tipove zadataka u pisanoj provjeri.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Uočavati i ispravljati netočno riješene sadržaje u provjeri znanja. Uočavati, prema postotku riješenosti, svoj rezultat i analizirati ga.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pacing w:before="240" w:lineRule="auto"/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18"/>
                <w:szCs w:val="18"/>
                <w:highlight w:val="white"/>
                <w:rtl w:val="0"/>
              </w:rPr>
              <w:t xml:space="preserve">uku A.3.1., uku B.3.4.,                  ikt D.3.1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8" w:hRule="atLeast"/>
        </w:trPr>
        <w:tc>
          <w:tcPr>
            <w:shd w:fill="fef1da" w:val="clear"/>
          </w:tcPr>
          <w:p w:rsidR="00000000" w:rsidDel="00000000" w:rsidP="00000000" w:rsidRDefault="00000000" w:rsidRPr="00000000" w14:paraId="0000004E">
            <w:pPr>
              <w:spacing w:after="120" w:before="120" w:lineRule="auto"/>
              <w:ind w:left="113" w:right="113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Antologijska šetnja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20" w:before="120" w:lineRule="auto"/>
              <w:ind w:left="113" w:right="113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a) August Šenoa, </w:t>
            </w:r>
            <w:r w:rsidDel="00000000" w:rsidR="00000000" w:rsidRPr="00000000">
              <w:rPr>
                <w:i w:val="1"/>
                <w:rtl w:val="0"/>
              </w:rPr>
              <w:t xml:space="preserve">Prosjak Luka</w:t>
            </w:r>
            <w:r w:rsidDel="00000000" w:rsidR="00000000" w:rsidRPr="00000000">
              <w:rPr>
                <w:rtl w:val="0"/>
              </w:rPr>
              <w:t xml:space="preserve">, Vjekoslav Kaleb, </w:t>
            </w:r>
            <w:r w:rsidDel="00000000" w:rsidR="00000000" w:rsidRPr="00000000">
              <w:rPr>
                <w:i w:val="1"/>
                <w:rtl w:val="0"/>
              </w:rPr>
              <w:t xml:space="preserve">Prosjak</w:t>
            </w:r>
            <w:r w:rsidDel="00000000" w:rsidR="00000000" w:rsidRPr="00000000">
              <w:rPr>
                <w:rtl w:val="0"/>
              </w:rPr>
              <w:t xml:space="preserve">, b) August Šenoa, </w:t>
            </w:r>
            <w:r w:rsidDel="00000000" w:rsidR="00000000" w:rsidRPr="00000000">
              <w:rPr>
                <w:i w:val="1"/>
                <w:rtl w:val="0"/>
              </w:rPr>
              <w:t xml:space="preserve">Seljačka buna</w:t>
            </w:r>
            <w:r w:rsidDel="00000000" w:rsidR="00000000" w:rsidRPr="00000000">
              <w:rPr>
                <w:rtl w:val="0"/>
              </w:rPr>
              <w:t xml:space="preserve">, c) Dinko Šimunović, </w:t>
            </w:r>
            <w:r w:rsidDel="00000000" w:rsidR="00000000" w:rsidRPr="00000000">
              <w:rPr>
                <w:i w:val="1"/>
                <w:rtl w:val="0"/>
              </w:rPr>
              <w:t xml:space="preserve">Alkar</w:t>
            </w:r>
            <w:r w:rsidDel="00000000" w:rsidR="00000000" w:rsidRPr="00000000">
              <w:rPr>
                <w:rtl w:val="0"/>
              </w:rPr>
              <w:t xml:space="preserve">, d) Mate Balota, </w:t>
            </w:r>
            <w:r w:rsidDel="00000000" w:rsidR="00000000" w:rsidRPr="00000000">
              <w:rPr>
                <w:i w:val="1"/>
                <w:rtl w:val="0"/>
              </w:rPr>
              <w:t xml:space="preserve">Koza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ef1da" w:val="clear"/>
          </w:tcPr>
          <w:p w:rsidR="00000000" w:rsidDel="00000000" w:rsidP="00000000" w:rsidRDefault="00000000" w:rsidRPr="00000000" w14:paraId="00000050">
            <w:pPr>
              <w:spacing w:before="120" w:lineRule="auto"/>
              <w:ind w:lef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6</w:t>
            </w:r>
          </w:p>
        </w:tc>
        <w:tc>
          <w:tcPr>
            <w:shd w:fill="fef1da" w:val="clear"/>
          </w:tcPr>
          <w:p w:rsidR="00000000" w:rsidDel="00000000" w:rsidP="00000000" w:rsidRDefault="00000000" w:rsidRPr="00000000" w14:paraId="00000051">
            <w:pPr>
              <w:spacing w:after="120" w:before="120" w:lineRule="auto"/>
              <w:ind w:left="113" w:right="113" w:firstLine="0"/>
              <w:rPr>
                <w:b w:val="1"/>
                <w:color w:val="e2b700"/>
              </w:rPr>
            </w:pPr>
            <w:r w:rsidDel="00000000" w:rsidR="00000000" w:rsidRPr="00000000">
              <w:rPr>
                <w:b w:val="1"/>
                <w:color w:val="e2b700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052">
            <w:pPr>
              <w:spacing w:after="120" w:before="120" w:lineRule="auto"/>
              <w:ind w:left="113" w:right="113" w:firstLine="0"/>
              <w:rPr>
                <w:b w:val="1"/>
                <w:color w:val="e2b7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ef1da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Uočavati višeslojnost književnoga teksta: jezična, sadržajna, značenjska i stilistička. Raspravljati o likovima na temelju izgleda, osobina, govora, razmišljanja, emocionalnih i psihičkih reakcija i društvenog statusa. Objašnjavati obilježja poetskoga, proznog i dramskog teksta te njihove višeznačnosti i primjenjivati dosad stečena književnoteorijska znanja.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Opisati sudbinu zamišljenog prosjaka. Ponoviti vrste karakterizacije lika.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Navesti primjere karakterizacije lika na primjeru teksta.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bjasniti na primjerima karakterizaciju imenovanjem lika.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stražiti značenje svoga imena.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avesti primjere socijalne tematike likova u dosadašnjim djelima. Napisati komentar na zadanu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Istraživati na internetu o povijesnom događaju. Čitati tekst po ulogama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karakterizaciju na temelju postupaka i govora likova.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Gledati isječak iz filma.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izvješće.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Odrediti temu poslušane pjesme objašnjavajući značenje stihova. Povezati temu pjesme s poslušanim tekstom. Opisati Sinjsku alku. Napisati socijalnu karakterizaciju izabranog lika. Opisati vrste karakterizacije lika. Uživjeti se u položaj književnog lika odgovarajući na postavljena pitanja. Usporediti društvene norme iz teksta s današnjim normama. Izvesti zaključak o napretku društva.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Ponoviti vrste lirskih pjesama izrađujući umnu mapu. Istražiti simboliku istarske koze. Čitati pjesmu i pojasniti rječnik. Analizirati motive majke, sina te socijalnu tematiku. Pisati priču vezanu uz tematiku pjesme. Predstaviti obilježja dijalektnog pjesništva te primjere lirskih pjesama na narječjima.</w:t>
            </w:r>
          </w:p>
        </w:tc>
        <w:tc>
          <w:tcPr>
            <w:shd w:fill="fef1da" w:val="clear"/>
          </w:tcPr>
          <w:p w:rsidR="00000000" w:rsidDel="00000000" w:rsidP="00000000" w:rsidRDefault="00000000" w:rsidRPr="00000000" w14:paraId="0000005A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a) osr C.3.4.</w:t>
            </w:r>
          </w:p>
          <w:p w:rsidR="00000000" w:rsidDel="00000000" w:rsidP="00000000" w:rsidRDefault="00000000" w:rsidRPr="00000000" w14:paraId="0000005B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b) goo A.3.3.</w:t>
            </w:r>
          </w:p>
          <w:p w:rsidR="00000000" w:rsidDel="00000000" w:rsidP="00000000" w:rsidRDefault="00000000" w:rsidRPr="00000000" w14:paraId="0000005C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c) goo A.3.5., osr C.3.4.</w:t>
            </w:r>
          </w:p>
          <w:p w:rsidR="00000000" w:rsidDel="00000000" w:rsidP="00000000" w:rsidRDefault="00000000" w:rsidRPr="00000000" w14:paraId="0000005D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d) osr C.3.4.</w:t>
            </w:r>
          </w:p>
          <w:p w:rsidR="00000000" w:rsidDel="00000000" w:rsidP="00000000" w:rsidRDefault="00000000" w:rsidRPr="00000000" w14:paraId="0000005E">
            <w:pPr>
              <w:spacing w:after="120" w:before="120" w:lineRule="auto"/>
              <w:ind w:left="113" w:righ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Influenseri, gejmeri, jutjuberi, blogeri, vlogeri – nove supkulture na prvom mjestu društvene ljestvice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spacing w:before="120" w:lineRule="auto"/>
              <w:ind w:lef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c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ind w:left="113" w:righ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OŠ HJ C.8.2.</w:t>
            </w:r>
          </w:p>
          <w:p w:rsidR="00000000" w:rsidDel="00000000" w:rsidP="00000000" w:rsidRDefault="00000000" w:rsidRPr="00000000" w14:paraId="00000063">
            <w:pPr>
              <w:spacing w:after="120" w:before="120" w:lineRule="auto"/>
              <w:ind w:left="113" w:right="113" w:firstLine="0"/>
              <w:rPr>
                <w:b w:val="1"/>
                <w:color w:val="e2b7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Navesti pozitivne i negativne strane društvenih mreža. Opisati riječi koje pripadaju gejmerskom rječniku. Definirati pojam supkulture. Istraživati zadanu supkulturu. Prezentirati rezultate istraživanja. Pisati komentar na zadanu temu.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spacing w:after="120" w:before="120" w:lineRule="auto"/>
              <w:ind w:left="113" w:righ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osr B.3.1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fef1da" w:val="clear"/>
          </w:tcPr>
          <w:p w:rsidR="00000000" w:rsidDel="00000000" w:rsidP="00000000" w:rsidRDefault="00000000" w:rsidRPr="00000000" w14:paraId="0000006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Miro Gavran,</w:t>
            </w:r>
            <w:r w:rsidDel="00000000" w:rsidR="00000000" w:rsidRPr="00000000">
              <w:rPr>
                <w:i w:val="1"/>
                <w:rtl w:val="0"/>
              </w:rPr>
              <w:t xml:space="preserve"> Judita</w:t>
            </w:r>
            <w:r w:rsidDel="00000000" w:rsidR="00000000" w:rsidRPr="00000000">
              <w:rPr>
                <w:rtl w:val="0"/>
              </w:rPr>
              <w:t xml:space="preserve">; Biblija, </w:t>
            </w:r>
            <w:r w:rsidDel="00000000" w:rsidR="00000000" w:rsidRPr="00000000">
              <w:rPr>
                <w:i w:val="1"/>
                <w:rtl w:val="0"/>
              </w:rPr>
              <w:t xml:space="preserve">Judita u neprijateljskom taboru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ef1da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283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c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c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ef1da" w:val="clear"/>
          </w:tcPr>
          <w:p w:rsidR="00000000" w:rsidDel="00000000" w:rsidP="00000000" w:rsidRDefault="00000000" w:rsidRPr="00000000" w14:paraId="00000069">
            <w:pPr>
              <w:spacing w:after="120" w:before="120" w:lineRule="auto"/>
              <w:ind w:left="113" w:righ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OŠ HJ C.8.2.</w:t>
            </w:r>
          </w:p>
          <w:p w:rsidR="00000000" w:rsidDel="00000000" w:rsidP="00000000" w:rsidRDefault="00000000" w:rsidRPr="00000000" w14:paraId="0000006A">
            <w:pPr>
              <w:spacing w:after="120" w:before="120" w:lineRule="auto"/>
              <w:ind w:left="113" w:righ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ef1da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Pronaći podatke o Juditi. Uspoređivati visoku i popularnu kulturu. Usporediti jezik i stil različitih djela.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Izraditi avatar lika u izabranoj aplikaciji. Predstaviti izabrani lik argumentirajući postupke. Napisati problemski članak.</w:t>
            </w:r>
          </w:p>
        </w:tc>
        <w:tc>
          <w:tcPr>
            <w:shd w:fill="fef1da" w:val="clear"/>
          </w:tcPr>
          <w:p w:rsidR="00000000" w:rsidDel="00000000" w:rsidP="00000000" w:rsidRDefault="00000000" w:rsidRPr="00000000" w14:paraId="0000006D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uku A.3.1., uku A.3.3., uku A.3.4., pod A.3.3.</w:t>
            </w:r>
          </w:p>
        </w:tc>
      </w:tr>
      <w:tr>
        <w:trPr>
          <w:trHeight w:val="491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6) Djelo za cjelovito čitanje – izbor učenika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283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c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c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spacing w:after="120" w:before="120" w:lineRule="auto"/>
              <w:ind w:left="113" w:right="113" w:firstLine="0"/>
              <w:rPr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OŠ HJ B.8.3., OŠ HJ B.8.1., OŠ HJ B.8.4.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Izražavati doživljaj o književnom tekstu. Tumačiti značenje književnoga teksta primjenjujući književnoteorijska znanja. Vrednovati književni tekst i argumentirati vlastita zapažanja povezujući ih sa stečenim znanjem i iskustvom. Prepoznavati glavne ideje i problematiku književnoga teksta i povezivati ih sa stvarnošću i vlastitim iskustvom.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osr A.3.2., uku A.3.1., uku A.3.3., uku A.3.4., uku B.3.4.</w:t>
            </w:r>
          </w:p>
        </w:tc>
      </w:tr>
      <w:tr>
        <w:trPr>
          <w:trHeight w:val="479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4">
            <w:pPr>
              <w:rPr>
                <w:color w:val="fea3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color w:val="fea3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color w:val="fea3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color w:val="fea3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color w:val="fea3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color w:val="fea300"/>
                <w:rtl w:val="0"/>
              </w:rPr>
              <w:t xml:space="preserve">ORGANIZACIJA UČENJA I POUČAVANJA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tcBorders>
              <w:top w:color="000000" w:space="0" w:sz="0" w:val="nil"/>
              <w:left w:color="9e5ece" w:space="0" w:sz="4" w:val="dashed"/>
              <w:bottom w:color="009900" w:space="0" w:sz="4" w:val="dashed"/>
              <w:right w:color="ffffff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strategije</w:t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9900" w:space="0" w:sz="4" w:val="dashed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metode</w:t>
            </w:r>
          </w:p>
        </w:tc>
      </w:tr>
      <w:tr>
        <w:trPr>
          <w:trHeight w:val="479" w:hRule="atLeast"/>
        </w:trPr>
        <w:tc>
          <w:tcPr>
            <w:tcBorders>
              <w:top w:color="009900" w:space="0" w:sz="4" w:val="dashed"/>
              <w:left w:color="fea300" w:space="0" w:sz="4" w:val="dashed"/>
              <w:bottom w:color="fea300" w:space="0" w:sz="4" w:val="dashed"/>
              <w:right w:color="fea300" w:space="0" w:sz="4" w:val="dashed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pronalaženje sličnosti i razlika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rezimiranje i bilježenje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postavljanje ciljeva i davanje povratnih informacija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suradničko učenje (učenik-učenik, skupina učenika)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provjeravanje hipoteza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pisanje i crtanje organizatora: prepričavanje, uporišne točke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otkrivanje i rješavanje problema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strategija interaktivnog učenja i rada na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900" w:space="0" w:sz="4" w:val="dashed"/>
              <w:left w:color="fea300" w:space="0" w:sz="4" w:val="dashed"/>
              <w:bottom w:color="fea300" w:space="0" w:sz="4" w:val="dashed"/>
              <w:right w:color="9e5ece" w:space="0" w:sz="4" w:val="dashed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vizualne metode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učenja prema modelu, uputama i smjernicama                                                                           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izrade i interpretiranja umnih mapa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čitanja i rada na tekstu: rad s udžbenikom                                                                           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54.0" w:type="dxa"/>
        <w:jc w:val="left"/>
        <w:tblInd w:w="0.0" w:type="dxa"/>
        <w:tblBorders>
          <w:top w:color="000000" w:space="0" w:sz="0" w:val="nil"/>
          <w:left w:color="ffffff" w:space="0" w:sz="4" w:val="single"/>
          <w:bottom w:color="000000" w:space="0" w:sz="0" w:val="nil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5254"/>
        <w:tblGridChange w:id="0">
          <w:tblGrid>
            <w:gridCol w:w="15254"/>
          </w:tblGrid>
        </w:tblGridChange>
      </w:tblGrid>
      <w:tr>
        <w:trPr>
          <w:trHeight w:val="479" w:hRule="atLeast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rPr>
                <w:color w:val="fea300"/>
              </w:rPr>
            </w:pPr>
            <w:r w:rsidDel="00000000" w:rsidR="00000000" w:rsidRPr="00000000">
              <w:rPr>
                <w:color w:val="fea300"/>
                <w:rtl w:val="0"/>
              </w:rPr>
              <w:t xml:space="preserve">SADRŽAJI UČENJA</w:t>
            </w:r>
          </w:p>
        </w:tc>
      </w:tr>
      <w:tr>
        <w:trPr>
          <w:trHeight w:val="479" w:hRule="atLeast"/>
        </w:trPr>
        <w:tc>
          <w:tcPr>
            <w:shd w:fill="fff4e1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odnosi među riječima, sinonimi i antonimi, frazemi, pleonazmi, neologizmi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socijalna tematika u prozi, socijalna karakterizacija, socijalna lirska pjesma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073.0" w:type="dxa"/>
        <w:jc w:val="left"/>
        <w:tblInd w:w="-57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5274"/>
        <w:gridCol w:w="4382"/>
        <w:gridCol w:w="5417"/>
        <w:tblGridChange w:id="0">
          <w:tblGrid>
            <w:gridCol w:w="5274"/>
            <w:gridCol w:w="4382"/>
            <w:gridCol w:w="5417"/>
          </w:tblGrid>
        </w:tblGridChange>
      </w:tblGrid>
      <w:tr>
        <w:trPr>
          <w:trHeight w:val="421" w:hRule="atLeast"/>
        </w:trPr>
        <w:tc>
          <w:tcPr>
            <w:gridSpan w:val="3"/>
            <w:tcBorders>
              <w:top w:color="fea300" w:space="0" w:sz="4" w:val="dashed"/>
              <w:bottom w:color="fea300" w:space="0" w:sz="6" w:val="dashed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after="120" w:before="120" w:lineRule="auto"/>
              <w:rPr>
                <w:b w:val="1"/>
                <w:color w:val="fea3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fea300"/>
                <w:rtl w:val="0"/>
              </w:rPr>
              <w:t xml:space="preserve">VREDNOVANJE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1" w:hRule="atLeast"/>
        </w:trPr>
        <w:tc>
          <w:tcPr>
            <w:tcBorders>
              <w:top w:color="fea300" w:space="0" w:sz="6" w:val="dashed"/>
              <w:bottom w:color="fea300" w:space="0" w:sz="6" w:val="dashed"/>
              <w:right w:color="fea300" w:space="0" w:sz="6" w:val="dashed"/>
            </w:tcBorders>
            <w:shd w:fill="fff4e1" w:val="clear"/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kao učenje</w:t>
            </w:r>
          </w:p>
        </w:tc>
        <w:tc>
          <w:tcPr>
            <w:tcBorders>
              <w:top w:color="fea300" w:space="0" w:sz="6" w:val="dashed"/>
              <w:left w:color="fea300" w:space="0" w:sz="6" w:val="dashed"/>
              <w:bottom w:color="fea300" w:space="0" w:sz="6" w:val="dashed"/>
              <w:right w:color="fea300" w:space="0" w:sz="6" w:val="dashed"/>
            </w:tcBorders>
            <w:shd w:fill="ffe4b5" w:val="clear"/>
          </w:tcPr>
          <w:p w:rsidR="00000000" w:rsidDel="00000000" w:rsidP="00000000" w:rsidRDefault="00000000" w:rsidRPr="00000000" w14:paraId="00000095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za učenje</w:t>
            </w:r>
          </w:p>
        </w:tc>
        <w:tc>
          <w:tcPr>
            <w:tcBorders>
              <w:top w:color="fea300" w:space="0" w:sz="6" w:val="dashed"/>
              <w:left w:color="fea300" w:space="0" w:sz="6" w:val="dashed"/>
              <w:bottom w:color="fea300" w:space="0" w:sz="6" w:val="dashed"/>
            </w:tcBorders>
            <w:shd w:fill="ffd790" w:val="clear"/>
          </w:tcPr>
          <w:p w:rsidR="00000000" w:rsidDel="00000000" w:rsidP="00000000" w:rsidRDefault="00000000" w:rsidRPr="00000000" w14:paraId="00000096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vrednovanje naučenoga</w:t>
            </w:r>
          </w:p>
        </w:tc>
      </w:tr>
      <w:tr>
        <w:trPr>
          <w:trHeight w:val="644" w:hRule="atLeast"/>
        </w:trPr>
        <w:tc>
          <w:tcPr>
            <w:tcBorders>
              <w:top w:color="fea300" w:space="0" w:sz="6" w:val="dashed"/>
              <w:right w:color="fea300" w:space="0" w:sz="6" w:val="dashed"/>
            </w:tcBorders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Razmjena informacija o učenju  i rezultatima učenja.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ea300" w:space="0" w:sz="6" w:val="dashed"/>
              <w:left w:color="fea300" w:space="0" w:sz="6" w:val="dashed"/>
              <w:right w:color="fea300" w:space="0" w:sz="6" w:val="dashed"/>
            </w:tcBorders>
          </w:tcPr>
          <w:p w:rsidR="00000000" w:rsidDel="00000000" w:rsidP="00000000" w:rsidRDefault="00000000" w:rsidRPr="00000000" w14:paraId="0000009C">
            <w:pPr>
              <w:spacing w:after="120" w:before="240" w:lineRule="auto"/>
              <w:ind w:left="1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Učenik samovrednuje svoje uratke. Uspoređuje ih s uradcima drugih učenika. Komentira što je dobro napravio, a što je mogao bolje. Postavlja pitanja da bi razumio uputu. Kritički se odnosi prema predstavljanju istraživanja. </w:t>
            </w:r>
          </w:p>
          <w:p w:rsidR="00000000" w:rsidDel="00000000" w:rsidP="00000000" w:rsidRDefault="00000000" w:rsidRPr="00000000" w14:paraId="0000009D">
            <w:pPr>
              <w:spacing w:after="120" w:before="24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Zaključuje o svom napretku na kraju teme.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ea300" w:space="0" w:sz="6" w:val="dashed"/>
              <w:left w:color="fea300" w:space="0" w:sz="6" w:val="dashed"/>
            </w:tcBorders>
          </w:tcPr>
          <w:p w:rsidR="00000000" w:rsidDel="00000000" w:rsidP="00000000" w:rsidRDefault="00000000" w:rsidRPr="00000000" w14:paraId="0000009E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zadatci za vrednovanje učeničkih postignuća –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Odnosi među riječima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vrednovanje prema Wizer izlaznim karticama</w:t>
            </w:r>
          </w:p>
          <w:p w:rsidR="00000000" w:rsidDel="00000000" w:rsidP="00000000" w:rsidRDefault="00000000" w:rsidRPr="00000000" w14:paraId="000000A0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promatranje i ocjenjivanje učenika tijekom određenih aktivnosti u kojima su se posebno istaknuli</w:t>
            </w:r>
          </w:p>
          <w:p w:rsidR="00000000" w:rsidDel="00000000" w:rsidP="00000000" w:rsidRDefault="00000000" w:rsidRPr="00000000" w14:paraId="000000A1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173.000000000002" w:type="dxa"/>
        <w:jc w:val="left"/>
        <w:tblInd w:w="-57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7536"/>
        <w:gridCol w:w="7637"/>
        <w:tblGridChange w:id="0">
          <w:tblGrid>
            <w:gridCol w:w="7536"/>
            <w:gridCol w:w="7637"/>
          </w:tblGrid>
        </w:tblGridChange>
      </w:tblGrid>
      <w:tr>
        <w:trPr>
          <w:trHeight w:val="421" w:hRule="atLeast"/>
        </w:trPr>
        <w:tc>
          <w:tcPr>
            <w:gridSpan w:val="2"/>
            <w:tcBorders>
              <w:top w:color="fea300" w:space="0" w:sz="6" w:val="dashed"/>
              <w:bottom w:color="fea300" w:space="0" w:sz="6" w:val="dashed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fea300"/>
                <w:rtl w:val="0"/>
              </w:rPr>
              <w:t xml:space="preserve">POVEZANOST S MEĐUPREDMETNIM TEMAMA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1" w:hRule="atLeast"/>
        </w:trPr>
        <w:tc>
          <w:tcPr>
            <w:tcBorders>
              <w:top w:color="fea300" w:space="0" w:sz="6" w:val="dashed"/>
              <w:right w:color="fea300" w:space="0" w:sz="6" w:val="dashed"/>
            </w:tcBorders>
            <w:shd w:fill="fef1da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99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99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Učiti kako učiti 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ind w:lef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uku A.3.1. Učenik samostalno traži nove informacije iz različitih izvora, transformira ih u novo znanje i uspješno primjenjuje pri rješavanju problema..  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ind w:lef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uku A.3.3. Učenik samostalno oblikuje svoje ideje i kreativno pristupa rješavanju problema.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ind w:lef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uku A.3.4. Učenik kritički promišlja i vrednuje ideju uz podršku učitelja.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D.3.2. Učenik ostvaruje dobru komunikaciju s drugima, uspješno surađuje u različitim situacijama i spreman je zatražiti i ponuditi pomoć.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ea300" w:space="0" w:sz="6" w:val="dashed"/>
              <w:left w:color="fea300" w:space="0" w:sz="6" w:val="dashed"/>
            </w:tcBorders>
            <w:shd w:fill="ffe4b5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99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99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Osobni i socijalni razvoj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B.3.2. Razvija komunikacijske kompetencije i uvažavajuće odnose s drugima.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B.3.4. Suradnički uči i radi u timu.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99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99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Uporaba informacijsko-komunikacijske tehnologije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A.3.2. Učenik se samostalno koristi raznim uređajima i programima.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99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99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Poduzetništvo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 A.3.3. Upoznaje i kritički sagledava  mogućnost razvoja karijere i profesionalnoga usmjeravanja.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7"/>
        <w:tblW w:w="15192.0" w:type="dxa"/>
        <w:jc w:val="left"/>
        <w:tblInd w:w="0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top w:color="fea300" w:space="0" w:sz="6" w:val="dashed"/>
              <w:bottom w:color="fea300" w:space="0" w:sz="6" w:val="dashed"/>
              <w:right w:color="fea300" w:space="0" w:sz="6" w:val="dashed"/>
            </w:tcBorders>
            <w:vAlign w:val="center"/>
          </w:tcPr>
          <w:p w:rsidR="00000000" w:rsidDel="00000000" w:rsidP="00000000" w:rsidRDefault="00000000" w:rsidRPr="00000000" w14:paraId="000000B5">
            <w:pPr>
              <w:rPr>
                <w:color w:val="0070c0"/>
              </w:rPr>
            </w:pPr>
            <w:r w:rsidDel="00000000" w:rsidR="00000000" w:rsidRPr="00000000">
              <w:rPr>
                <w:color w:val="fea300"/>
                <w:rtl w:val="0"/>
              </w:rPr>
              <w:t xml:space="preserve">SREDSTVA, ALATI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ea300" w:space="0" w:sz="6" w:val="dashed"/>
              <w:left w:color="fea300" w:space="0" w:sz="6" w:val="dashed"/>
              <w:bottom w:color="fea300" w:space="0" w:sz="6" w:val="dashed"/>
            </w:tcBorders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Prema predviđenim aktivnostima: nastavni listići, PowerPoint, Wordwall, LearningApps, Kahoot!, Wizer-me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113" w:firstLine="0"/>
              <w:rPr>
                <w:b w:val="0"/>
                <w:color w:val="9872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2" w:hRule="atLeast"/>
        </w:trPr>
        <w:tc>
          <w:tcPr>
            <w:tcBorders>
              <w:top w:color="fea300" w:space="0" w:sz="6" w:val="dashed"/>
              <w:bottom w:color="fea300" w:space="0" w:sz="6" w:val="dashed"/>
              <w:right w:color="fea300" w:space="0" w:sz="6" w:val="dashed"/>
            </w:tcBorders>
            <w:shd w:fill="fef1da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color w:val="0070c0"/>
              </w:rPr>
            </w:pPr>
            <w:r w:rsidDel="00000000" w:rsidR="00000000" w:rsidRPr="00000000">
              <w:rPr>
                <w:color w:val="fea300"/>
                <w:rtl w:val="0"/>
              </w:rPr>
              <w:t xml:space="preserve">IZVORI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ea300" w:space="0" w:sz="6" w:val="dashed"/>
              <w:left w:color="fea300" w:space="0" w:sz="6" w:val="dashed"/>
              <w:bottom w:color="fea300" w:space="0" w:sz="6" w:val="dashed"/>
            </w:tcBorders>
            <w:shd w:fill="ffe4b5" w:val="clear"/>
          </w:tcPr>
          <w:p w:rsidR="00000000" w:rsidDel="00000000" w:rsidP="00000000" w:rsidRDefault="00000000" w:rsidRPr="00000000" w14:paraId="000000B9">
            <w:pPr>
              <w:spacing w:after="120" w:before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Anita Šojat, čitanka Snaga riječi 8, Anita Šojat, Naš hrvatski 8, Anita Šojat, Vjekoslava Hrastović i Nada Marguš, radna bilježnica Naš hrvatski 8, e-sfera, Mozabook</w:t>
            </w:r>
          </w:p>
        </w:tc>
      </w:tr>
    </w:tbl>
    <w:p w:rsidR="00000000" w:rsidDel="00000000" w:rsidP="00000000" w:rsidRDefault="00000000" w:rsidRPr="00000000" w14:paraId="000000BA">
      <w:pPr>
        <w:tabs>
          <w:tab w:val="left" w:pos="9984"/>
        </w:tabs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e84c22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6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7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